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30.0" w:type="dxa"/>
        <w:jc w:val="righ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49"/>
        <w:gridCol w:w="5681"/>
        <w:tblGridChange w:id="0">
          <w:tblGrid>
            <w:gridCol w:w="3049"/>
            <w:gridCol w:w="5681"/>
          </w:tblGrid>
        </w:tblGridChange>
      </w:tblGrid>
      <w:tr>
        <w:trPr>
          <w:trHeight w:val="1546" w:hRule="atLeast"/>
        </w:trPr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ind w:left="0" w:right="0" w:firstLine="0"/>
              <w:jc w:val="left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فرم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 - 1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ind w:left="0" w:right="0" w:firstLine="0"/>
              <w:jc w:val="left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زمان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شروع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کارگیری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: 1/1/93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ind w:left="0" w:right="0" w:firstLine="0"/>
              <w:jc w:val="left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تاریخ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اعتبار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تا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1"/>
              </w:rPr>
              <w:t xml:space="preserve"> 29/12/96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ind w:left="0" w:right="0" w:firstLine="0"/>
              <w:jc w:val="center"/>
              <w:rPr>
                <w:b w:val="0"/>
                <w:color w:val="ffffff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فرم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تقاضای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سهام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دست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انتشار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bidi w:val="1"/>
              <w:ind w:left="0" w:right="0" w:firstLine="0"/>
              <w:jc w:val="center"/>
              <w:rPr>
                <w:b w:val="0"/>
                <w:color w:val="ffffff"/>
                <w:sz w:val="36"/>
                <w:szCs w:val="36"/>
                <w:vertAlign w:val="baseline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vertAlign w:val="baseline"/>
                  <w:rtl w:val="1"/>
                </w:rPr>
                <w:t xml:space="preserve">شرکت</w:t>
              </w:r>
            </w:hyperlink>
            <w:hyperlink r:id="rId7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vertAlign w:val="baseline"/>
                  <w:rtl w:val="1"/>
                </w:rPr>
                <w:t xml:space="preserve">‌ </w:t>
              </w:r>
            </w:hyperlink>
            <w:hyperlink r:id="rId8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vertAlign w:val="baseline"/>
                  <w:rtl w:val="1"/>
                </w:rPr>
                <w:t xml:space="preserve">سهامی</w:t>
              </w:r>
            </w:hyperlink>
            <w:hyperlink r:id="rId9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vertAlign w:val="baseline"/>
                  <w:rtl w:val="1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vertAlign w:val="baseline"/>
                  <w:rtl w:val="1"/>
                </w:rPr>
                <w:t xml:space="preserve">عام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شرف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1"/>
              </w:rPr>
              <w:t xml:space="preserve">تأسیس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سازمان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بورس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بهادار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نظارت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بر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انتشار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بهادار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سرمایهای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اطلاع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مفاد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بازار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بهادار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جمهوری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اسلامی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ایران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مصوب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آذرماه</w:t>
            </w:r>
            <w:r w:rsidDel="00000000" w:rsidR="00000000" w:rsidRPr="00000000">
              <w:rPr>
                <w:vertAlign w:val="baseline"/>
                <w:rtl w:val="1"/>
              </w:rPr>
              <w:t xml:space="preserve"> 1384 </w:t>
            </w:r>
            <w:r w:rsidDel="00000000" w:rsidR="00000000" w:rsidRPr="00000000">
              <w:rPr>
                <w:vertAlign w:val="baseline"/>
                <w:rtl w:val="1"/>
              </w:rPr>
              <w:t xml:space="preserve">مجلس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شورای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اسلامی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دستورالعمل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عرضۀ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بهادار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vertAlign w:val="baseline"/>
                <w:rtl w:val="1"/>
              </w:rPr>
              <w:t xml:space="preserve">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مؤسسان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نمایندگان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هیئت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مؤسس</w:t>
            </w:r>
            <w:r w:rsidDel="00000000" w:rsidR="00000000" w:rsidRPr="00000000">
              <w:rPr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سهامی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تأسیس</w:t>
            </w:r>
            <w:r w:rsidDel="00000000" w:rsidR="00000000" w:rsidRPr="00000000">
              <w:rPr>
                <w:vertAlign w:val="baseline"/>
                <w:rtl w:val="1"/>
              </w:rPr>
              <w:t xml:space="preserve">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]، </w:t>
            </w:r>
            <w:r w:rsidDel="00000000" w:rsidR="00000000" w:rsidRPr="00000000">
              <w:rPr>
                <w:vertAlign w:val="baseline"/>
                <w:rtl w:val="1"/>
              </w:rPr>
              <w:t xml:space="preserve">متقاضی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اخذ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مجوز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عرضۀ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عمومی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دست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انتشار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مشخصات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زیر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می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باشیم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bidi w:val="1"/>
              <w:ind w:left="0" w:right="0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vertAlign w:val="baseline"/>
                <w:rtl w:val="0"/>
              </w:rPr>
              <w:t xml:space="preserve">]،</w:t>
            </w:r>
          </w:p>
          <w:p w:rsidR="00000000" w:rsidDel="00000000" w:rsidP="00000000" w:rsidRDefault="00000000" w:rsidRPr="00000000" w14:paraId="0000000D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vertAlign w:val="baseline"/>
                  <w:rtl w:val="1"/>
                </w:rPr>
                <w:t xml:space="preserve">موضوع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vertAlign w:val="baseline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vertAlign w:val="baseline"/>
                  <w:rtl w:val="1"/>
                </w:rPr>
                <w:t xml:space="preserve">فعالیت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فعالیت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اصلی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بر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اساس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مفاد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اساسنامه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اظهارنامۀ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vertAlign w:val="baseline"/>
                <w:rtl w:val="0"/>
              </w:rPr>
              <w:t xml:space="preserve">]،</w:t>
            </w:r>
          </w:p>
          <w:p w:rsidR="00000000" w:rsidDel="00000000" w:rsidP="00000000" w:rsidRDefault="00000000" w:rsidRPr="00000000" w14:paraId="0000000E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سرمایۀ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ریال</w:t>
            </w:r>
            <w:r w:rsidDel="00000000" w:rsidR="00000000" w:rsidRPr="00000000">
              <w:rPr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0F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سهام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عادی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ممتاز</w:t>
            </w:r>
            <w:r w:rsidDel="00000000" w:rsidR="00000000" w:rsidRPr="00000000">
              <w:rPr>
                <w:vertAlign w:val="baseline"/>
                <w:rtl w:val="0"/>
              </w:rPr>
              <w:t xml:space="preserve">]،</w:t>
            </w:r>
          </w:p>
          <w:p w:rsidR="00000000" w:rsidDel="00000000" w:rsidP="00000000" w:rsidRDefault="00000000" w:rsidRPr="00000000" w14:paraId="00000010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سهم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ریال</w:t>
            </w:r>
            <w:r w:rsidDel="00000000" w:rsidR="00000000" w:rsidRPr="00000000">
              <w:rPr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11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میزان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سرمایۀ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تعهد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مؤسسان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ریال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معادل</w:t>
            </w:r>
            <w:r w:rsidDel="00000000" w:rsidR="00000000" w:rsidRPr="00000000">
              <w:rPr>
                <w:vertAlign w:val="baseline"/>
                <w:rtl w:val="1"/>
              </w:rPr>
              <w:t xml:space="preserve">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کل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سرمایه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کل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سرمایه</w:t>
            </w:r>
            <w:r w:rsidDel="00000000" w:rsidR="00000000" w:rsidRPr="00000000">
              <w:rPr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12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میزان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سرمایۀ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پرداخت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مؤسسان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ریال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معادل</w:t>
            </w:r>
            <w:r w:rsidDel="00000000" w:rsidR="00000000" w:rsidRPr="00000000">
              <w:rPr>
                <w:vertAlign w:val="baseline"/>
                <w:rtl w:val="1"/>
              </w:rPr>
              <w:t xml:space="preserve">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سرمایۀ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تعهد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سرمایۀ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تعهد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13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تعداد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نظر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گرفته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عرضه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عموم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تعداد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سهامی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پذیره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نویسی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تعیین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سهم</w:t>
            </w:r>
            <w:r w:rsidDel="00000000" w:rsidR="00000000" w:rsidRPr="00000000">
              <w:rPr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14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قابل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پرداخت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پذیره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نویسان</w:t>
            </w:r>
            <w:r w:rsidDel="00000000" w:rsidR="00000000" w:rsidRPr="00000000">
              <w:rPr>
                <w:vertAlign w:val="baseline"/>
                <w:rtl w:val="1"/>
              </w:rPr>
              <w:t xml:space="preserve">: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مبلغ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ریال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ازای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سهم</w:t>
            </w:r>
            <w:r w:rsidDel="00000000" w:rsidR="00000000" w:rsidRPr="00000000">
              <w:rPr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vertAlign w:val="baseline"/>
                <w:rtl w:val="1"/>
              </w:rPr>
              <w:t xml:space="preserve">معادل</w:t>
            </w:r>
            <w:r w:rsidDel="00000000" w:rsidR="00000000" w:rsidRPr="00000000">
              <w:rPr>
                <w:vertAlign w:val="baseline"/>
                <w:rtl w:val="1"/>
              </w:rPr>
              <w:t xml:space="preserve">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کل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سرمایه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] </w:t>
            </w:r>
            <w:r w:rsidDel="00000000" w:rsidR="00000000" w:rsidRPr="00000000">
              <w:rPr>
                <w:vertAlign w:val="baseline"/>
                <w:rtl w:val="1"/>
              </w:rPr>
              <w:t xml:space="preserve">ارزش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سهم</w:t>
            </w:r>
          </w:p>
          <w:p w:rsidR="00000000" w:rsidDel="00000000" w:rsidP="00000000" w:rsidRDefault="00000000" w:rsidRPr="00000000" w14:paraId="00000015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همراه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تقاضانامه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بیانیۀ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اعلامیۀ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vertAlign w:val="baseline"/>
                  <w:rtl w:val="1"/>
                </w:rPr>
                <w:t xml:space="preserve">پذیره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vertAlign w:val="baseline"/>
                  <w:rtl w:val="1"/>
                </w:rPr>
                <w:t xml:space="preserve">نویسی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مادۀ</w:t>
            </w:r>
            <w:r w:rsidDel="00000000" w:rsidR="00000000" w:rsidRPr="00000000">
              <w:rPr>
                <w:vertAlign w:val="baseline"/>
                <w:rtl w:val="1"/>
              </w:rPr>
              <w:t xml:space="preserve"> 22 </w:t>
            </w:r>
            <w:r w:rsidDel="00000000" w:rsidR="00000000" w:rsidRPr="00000000">
              <w:rPr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بازار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بهادار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مدارک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ذکر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زیر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ارسال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می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شود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مستندات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کلیۀ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اطلاعات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اهمیت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مؤثر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تصمیم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گیری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سرمایه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گذاران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بوده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محتوای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آنها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مورد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تأیید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اینجانبان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می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باشد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vertAlign w:val="baseline"/>
                <w:rtl w:val="1"/>
              </w:rPr>
              <w:t xml:space="preserve">هرگونه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تغییر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محتوای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بیانیۀ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اعلامیۀ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پذیره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نویسی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مرحله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اسرع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سازمان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اعلام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خواهد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عناوین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مدارک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مستندات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پیوست</w:t>
            </w:r>
            <w:r w:rsidDel="00000000" w:rsidR="00000000" w:rsidRPr="00000000">
              <w:rPr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8">
            <w:pPr>
              <w:bidi w:val="1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همچنین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متعهد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می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گردد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زمان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بررسی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درخواست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عرضۀ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عمومی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ارائه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اطلاعات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مورد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نیاز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اعلام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سازمان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زمان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تعیین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ارائه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شود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vertAlign w:val="baseline"/>
                <w:rtl w:val="1"/>
              </w:rPr>
              <w:t xml:space="preserve">بدیهی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ارائۀ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اطلاعات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زمان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تعیین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منزلۀ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انصراف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اینجانبان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درخواست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عرضۀ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عمومی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ثبت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بهادار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می</w:t>
            </w:r>
            <w:r w:rsidDel="00000000" w:rsidR="00000000" w:rsidRPr="00000000">
              <w:rPr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vertAlign w:val="baseline"/>
                <w:rtl w:val="1"/>
              </w:rPr>
              <w:t xml:space="preserve">باشد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bidi w:val="1"/>
              <w:ind w:left="0" w:right="0" w:firstLine="72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خانوادگی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مؤسسان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نمایندۀ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هیئت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مؤسس</w:t>
            </w:r>
            <w:r w:rsidDel="00000000" w:rsidR="00000000" w:rsidRPr="00000000">
              <w:rPr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A">
            <w:pPr>
              <w:bidi w:val="1"/>
              <w:ind w:left="0" w:right="0" w:firstLine="72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1B">
            <w:pPr>
              <w:bidi w:val="1"/>
              <w:ind w:left="0" w:right="0" w:firstLine="72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     [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تاریخ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امضاء</w:t>
            </w:r>
            <w:r w:rsidDel="00000000" w:rsidR="00000000" w:rsidRPr="00000000">
              <w:rPr>
                <w:u w:val="single"/>
                <w:vertAlign w:val="baseline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-342899</wp:posOffset>
                </wp:positionV>
                <wp:extent cx="1679575" cy="542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2563" y="3514888"/>
                          <a:ext cx="1666875" cy="530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cap="flat" cmpd="sng" w="12700">
                          <a:solidFill>
                            <a:srgbClr val="95B3D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سازمان بورس و اوراق بهادار           کد: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F-SP-19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-342899</wp:posOffset>
                </wp:positionV>
                <wp:extent cx="1679575" cy="542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57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134" w:top="1134" w:left="1701" w:right="170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spacing w:after="60" w:before="240" w:lineRule="auto"/>
      <w:ind w:left="0" w:right="0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spacing w:after="60" w:before="240" w:lineRule="auto"/>
      <w:ind w:left="0" w:right="0"/>
      <w:jc w:val="left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inyurl.com/companysubject" TargetMode="External"/><Relationship Id="rId10" Type="http://schemas.openxmlformats.org/officeDocument/2006/relationships/hyperlink" Target="https://tinyurl.com/jointstockcompany" TargetMode="External"/><Relationship Id="rId13" Type="http://schemas.openxmlformats.org/officeDocument/2006/relationships/hyperlink" Target="https://tinyurl.com/companysubject" TargetMode="External"/><Relationship Id="rId12" Type="http://schemas.openxmlformats.org/officeDocument/2006/relationships/hyperlink" Target="https://tinyurl.com/companysubjec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jointstockcompany" TargetMode="External"/><Relationship Id="rId15" Type="http://schemas.openxmlformats.org/officeDocument/2006/relationships/hyperlink" Target="https://tinyurl.com/pazirenevisi" TargetMode="External"/><Relationship Id="rId14" Type="http://schemas.openxmlformats.org/officeDocument/2006/relationships/hyperlink" Target="https://tinyurl.com/pazirenevisi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tinyurl.com/pazirenevisi" TargetMode="External"/><Relationship Id="rId5" Type="http://schemas.openxmlformats.org/officeDocument/2006/relationships/styles" Target="styles.xml"/><Relationship Id="rId6" Type="http://schemas.openxmlformats.org/officeDocument/2006/relationships/hyperlink" Target="https://tinyurl.com/jointstockcompany" TargetMode="External"/><Relationship Id="rId7" Type="http://schemas.openxmlformats.org/officeDocument/2006/relationships/hyperlink" Target="https://tinyurl.com/jointstockcompany" TargetMode="External"/><Relationship Id="rId8" Type="http://schemas.openxmlformats.org/officeDocument/2006/relationships/hyperlink" Target="https://tinyurl.com/jointstock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